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CF9B9">
      <w:pPr>
        <w:autoSpaceDE w:val="0"/>
        <w:autoSpaceDN w:val="0"/>
        <w:adjustRightInd w:val="0"/>
        <w:spacing w:before="0" w:beforeAutospacing="0" w:after="0" w:afterAutospacing="0" w:line="240" w:lineRule="auto"/>
        <w:jc w:val="left"/>
        <w:rPr>
          <w:rFonts w:hint="eastAsia" w:hAnsi="黑体" w:eastAsia="黑体" w:cs="黑体"/>
          <w:color w:val="000000"/>
          <w:kern w:val="0"/>
          <w:sz w:val="32"/>
          <w:szCs w:val="32"/>
        </w:rPr>
      </w:pPr>
      <w:bookmarkStart w:id="0" w:name="_GoBack"/>
      <w:r>
        <w:rPr>
          <w:rFonts w:hint="eastAsia" w:hAnsi="黑体" w:eastAsia="黑体" w:cs="黑体"/>
          <w:color w:val="000000"/>
          <w:kern w:val="0"/>
          <w:sz w:val="32"/>
          <w:szCs w:val="32"/>
        </w:rPr>
        <w:t>附件3</w:t>
      </w:r>
    </w:p>
    <w:p w14:paraId="698FA5C6">
      <w:pPr>
        <w:autoSpaceDE w:val="0"/>
        <w:autoSpaceDN w:val="0"/>
        <w:adjustRightInd w:val="0"/>
        <w:spacing w:before="0" w:beforeAutospacing="0" w:after="0" w:afterAutospacing="0" w:line="240" w:lineRule="auto"/>
        <w:jc w:val="left"/>
        <w:rPr>
          <w:rFonts w:hint="eastAsia" w:hAnsi="黑体" w:eastAsia="黑体" w:cs="黑体"/>
          <w:color w:val="000000"/>
          <w:kern w:val="0"/>
          <w:sz w:val="32"/>
          <w:szCs w:val="32"/>
        </w:rPr>
      </w:pPr>
    </w:p>
    <w:p w14:paraId="255DBE9E">
      <w:pPr>
        <w:keepNext w:val="0"/>
        <w:keepLines w:val="0"/>
        <w:pageBreakBefore w:val="0"/>
        <w:widowControl w:val="0"/>
        <w:wordWrap/>
        <w:overflowPunct/>
        <w:topLinePunct/>
        <w:bidi w:val="0"/>
        <w:adjustRightInd w:val="0"/>
        <w:snapToGrid w:val="0"/>
        <w:spacing w:line="560" w:lineRule="exact"/>
        <w:ind w:left="0" w:firstLine="0" w:firstLineChars="0"/>
        <w:jc w:val="center"/>
        <w:rPr>
          <w:rFonts w:hint="eastAsia" w:ascii="方正小标宋简体" w:hAnsi="Times New Roman" w:eastAsia="方正小标宋简体" w:cs="方正小标宋简体"/>
          <w:b w:val="0"/>
          <w:bCs w:val="0"/>
          <w:snapToGrid w:val="0"/>
          <w:color w:val="000000"/>
          <w:spacing w:val="-5"/>
          <w:kern w:val="0"/>
          <w:sz w:val="44"/>
          <w:szCs w:val="44"/>
          <w:lang w:val="en-US" w:eastAsia="zh-CN"/>
        </w:rPr>
      </w:pPr>
      <w:r>
        <w:rPr>
          <w:rFonts w:hint="eastAsia" w:ascii="方正小标宋简体" w:hAnsi="Times New Roman" w:eastAsia="方正小标宋简体" w:cs="方正小标宋简体"/>
          <w:b w:val="0"/>
          <w:bCs w:val="0"/>
          <w:snapToGrid w:val="0"/>
          <w:color w:val="000000"/>
          <w:spacing w:val="-5"/>
          <w:kern w:val="0"/>
          <w:sz w:val="44"/>
          <w:szCs w:val="44"/>
          <w:lang w:val="en-US" w:eastAsia="zh-CN"/>
        </w:rPr>
        <w:t>物料材质、质保范围及施工安全承诺函</w:t>
      </w:r>
    </w:p>
    <w:bookmarkEnd w:id="0"/>
    <w:p w14:paraId="1AE7823E">
      <w:pPr>
        <w:keepNext w:val="0"/>
        <w:keepLines w:val="0"/>
        <w:pageBreakBefore w:val="0"/>
        <w:widowControl w:val="0"/>
        <w:wordWrap/>
        <w:overflowPunct/>
        <w:topLinePunct/>
        <w:bidi w:val="0"/>
        <w:adjustRightInd w:val="0"/>
        <w:snapToGrid w:val="0"/>
        <w:spacing w:line="560" w:lineRule="exact"/>
        <w:ind w:left="0" w:firstLine="0" w:firstLineChars="0"/>
        <w:jc w:val="center"/>
        <w:rPr>
          <w:rFonts w:hint="eastAsia" w:ascii="方正小标宋简体" w:hAnsi="Times New Roman" w:eastAsia="方正小标宋简体" w:cs="方正小标宋简体"/>
          <w:b w:val="0"/>
          <w:bCs w:val="0"/>
          <w:snapToGrid w:val="0"/>
          <w:color w:val="000000"/>
          <w:spacing w:val="-5"/>
          <w:kern w:val="0"/>
          <w:sz w:val="44"/>
          <w:szCs w:val="44"/>
          <w:lang w:val="en-US" w:eastAsia="zh-CN"/>
        </w:rPr>
      </w:pPr>
    </w:p>
    <w:p w14:paraId="52DC48C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致：长春市第六医院</w:t>
      </w:r>
    </w:p>
    <w:p w14:paraId="197158C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我方________________________（供应商单位名称），作为参与贵院《临床教育培训中心教学展示载体一体化项目》询比议价的供应商，针对本项目物料、施工、服务、质保等相关事宜郑重作出如下书面承诺：</w:t>
      </w:r>
    </w:p>
    <w:p w14:paraId="00C7E98D">
      <w:pPr>
        <w:keepNext w:val="0"/>
        <w:keepLines w:val="0"/>
        <w:pageBreakBefore w:val="0"/>
        <w:widowControl w:val="0"/>
        <w:wordWrap/>
        <w:overflowPunct/>
        <w:topLinePunct/>
        <w:bidi w:val="0"/>
        <w:adjustRightInd w:val="0"/>
        <w:snapToGrid w:val="0"/>
        <w:spacing w:line="560" w:lineRule="exact"/>
        <w:ind w:firstLine="640" w:firstLineChars="200"/>
        <w:jc w:val="both"/>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一、物料材质标准承诺</w:t>
      </w:r>
    </w:p>
    <w:p w14:paraId="556FFE6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1.墙面基础展板基板：PVC板厚度≥15mm，表面亮面覆膜，环保等级执行</w:t>
      </w:r>
      <w:r>
        <w:rPr>
          <w:rFonts w:ascii="宋体" w:hAnsi="宋体" w:eastAsia="宋体" w:cs="宋体"/>
          <w:sz w:val="32"/>
          <w:szCs w:val="32"/>
        </w:rPr>
        <w:t>GB18580</w:t>
      </w:r>
      <w:r>
        <w:rPr>
          <w:rFonts w:ascii="宋体" w:hAnsi="宋体" w:eastAsia="宋体" w:cs="宋体"/>
          <w:sz w:val="32"/>
          <w:szCs w:val="32"/>
        </w:rPr>
        <w:noBreakHyphen/>
      </w:r>
      <w:r>
        <w:rPr>
          <w:rFonts w:ascii="宋体" w:hAnsi="宋体" w:eastAsia="宋体" w:cs="宋体"/>
          <w:sz w:val="32"/>
          <w:szCs w:val="32"/>
        </w:rPr>
        <w:t>2025 E1级</w:t>
      </w:r>
      <w:r>
        <w:rPr>
          <w:rFonts w:hint="eastAsia" w:ascii="Times New Roman" w:hAnsi="Times New Roman" w:eastAsia="仿宋_GB2312" w:cs="Times New Roman"/>
          <w:sz w:val="32"/>
          <w:szCs w:val="32"/>
          <w:lang w:val="en-US" w:eastAsia="zh-CN"/>
        </w:rPr>
        <w:t>；</w:t>
      </w:r>
    </w:p>
    <w:p w14:paraId="794D98D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2.主墙面图文画面：主画面宣绒布UV高清打印，辅助画面室内环保喷绘，墨水长效防褪色；</w:t>
      </w:r>
    </w:p>
    <w:p w14:paraId="7BC6264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3.立体发光导视标识：含无边发光字，全部采用24V低压LED光源+稳压安全电源，配套全套布线配件；不改动医院原有主供电主线，仅增设展示配套弱电线路；</w:t>
      </w:r>
    </w:p>
    <w:p w14:paraId="05B0246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4.造型装置基层：轻钢龙骨+ E1级阻燃木工板基层，表层PVC或亚克力饰面；</w:t>
      </w:r>
    </w:p>
    <w:p w14:paraId="762C478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通用辅材要求：粘接胶、国标电线、线管、五金紧固件、收边条全套配套，金属配件全部为304不锈钢；所有照明统一采用24V低压安全光源，电路全部穿管敷设，强弱电分离；所有施工材料均提供材料环保检测报告，确保室内物料无刺鼻异味。</w:t>
      </w:r>
    </w:p>
    <w:p w14:paraId="0C9BA292">
      <w:pPr>
        <w:keepNext w:val="0"/>
        <w:keepLines w:val="0"/>
        <w:pageBreakBefore w:val="0"/>
        <w:widowControl w:val="0"/>
        <w:wordWrap/>
        <w:overflowPunct/>
        <w:topLinePunct/>
        <w:bidi w:val="0"/>
        <w:adjustRightInd w:val="0"/>
        <w:snapToGrid w:val="0"/>
        <w:spacing w:line="560" w:lineRule="exact"/>
        <w:ind w:firstLine="640" w:firstLineChars="200"/>
        <w:jc w:val="both"/>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二、费用及结算模式承诺</w:t>
      </w:r>
    </w:p>
    <w:p w14:paraId="6C09149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color w:val="0000FF"/>
        </w:rPr>
      </w:pPr>
      <w:r>
        <w:rPr>
          <w:rFonts w:hint="eastAsia" w:ascii="Times New Roman" w:hAnsi="Times New Roman" w:eastAsia="仿宋_GB2312" w:cs="Times New Roman"/>
          <w:sz w:val="32"/>
          <w:szCs w:val="32"/>
          <w:lang w:val="en-US" w:eastAsia="zh-CN"/>
        </w:rPr>
        <w:t>本项目报价已包含材料、材料环保检测报告、安装人工费、基层处理费、运输费、垃圾清运费等全部相关费用。</w:t>
      </w:r>
    </w:p>
    <w:p w14:paraId="4DA1A786">
      <w:pPr>
        <w:keepNext w:val="0"/>
        <w:keepLines w:val="0"/>
        <w:pageBreakBefore w:val="0"/>
        <w:widowControl w:val="0"/>
        <w:wordWrap/>
        <w:overflowPunct/>
        <w:topLinePunct/>
        <w:bidi w:val="0"/>
        <w:adjustRightInd w:val="0"/>
        <w:snapToGrid w:val="0"/>
        <w:spacing w:line="560" w:lineRule="exact"/>
        <w:ind w:firstLine="640" w:firstLineChars="200"/>
        <w:jc w:val="both"/>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三、电气施工与资料交付承诺</w:t>
      </w:r>
    </w:p>
    <w:p w14:paraId="2CDE1FD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1.项目电气系统配置漏电保护装置，完整提供电气验收相关资料；</w:t>
      </w:r>
    </w:p>
    <w:p w14:paraId="184B2D9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2.施工时段严格配合医院诊疗工作安排，高噪声、高扰动作业避开诊疗高峰，不得干扰医院正常诊疗秩序；</w:t>
      </w:r>
    </w:p>
    <w:p w14:paraId="64C2F72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3.严格落实成品保护、构件安装固定、现场尺寸复核工作；所有造型装置必须符合医院院感管理相关要求；每套造型构件的尺寸、安装位置，必须经甲方确认后方可实施；</w:t>
      </w:r>
    </w:p>
    <w:p w14:paraId="01D8F5B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4.项目完工后按规范完成全套竣工资料整理归档并移交采购人。</w:t>
      </w:r>
    </w:p>
    <w:p w14:paraId="596A0BE9">
      <w:pPr>
        <w:keepNext w:val="0"/>
        <w:keepLines w:val="0"/>
        <w:pageBreakBefore w:val="0"/>
        <w:widowControl w:val="0"/>
        <w:wordWrap/>
        <w:overflowPunct/>
        <w:topLinePunct/>
        <w:bidi w:val="0"/>
        <w:adjustRightInd w:val="0"/>
        <w:snapToGrid w:val="0"/>
        <w:spacing w:line="560" w:lineRule="exact"/>
        <w:ind w:firstLine="640" w:firstLineChars="200"/>
        <w:jc w:val="both"/>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四、内容修改及质保维保承诺</w:t>
      </w:r>
    </w:p>
    <w:p w14:paraId="16EB6B4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1.项目教学展示内容需经甲方确认后，方可开展生产制作；</w:t>
      </w:r>
    </w:p>
    <w:p w14:paraId="0E92B63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2.质保期内提供项目全部成品免费维保服务，非人为恶意损坏故障免费维修、更换配件，按采购文件要求完成巡检、故障响应、上门维修等全部质保义务；</w:t>
      </w:r>
    </w:p>
    <w:p w14:paraId="39EBEE1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3.如施工过程中，损坏施工场景原有设施（包含墙面、地面等），我方负责修复或照价赔偿。</w:t>
      </w:r>
    </w:p>
    <w:p w14:paraId="0EBCE2DA">
      <w:pPr>
        <w:keepNext w:val="0"/>
        <w:keepLines w:val="0"/>
        <w:pageBreakBefore w:val="0"/>
        <w:widowControl w:val="0"/>
        <w:wordWrap/>
        <w:overflowPunct/>
        <w:topLinePunct/>
        <w:bidi w:val="0"/>
        <w:adjustRightInd w:val="0"/>
        <w:snapToGrid w:val="0"/>
        <w:spacing w:line="560" w:lineRule="exact"/>
        <w:ind w:firstLine="640" w:firstLineChars="200"/>
        <w:jc w:val="both"/>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五、施工安全承诺</w:t>
      </w:r>
    </w:p>
    <w:p w14:paraId="2FD34A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1.电路带电作业、动火作业时，我方会在安全监护人在场的情况下完成作业；</w:t>
      </w:r>
    </w:p>
    <w:p w14:paraId="42E248A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2.我方将为本项目全部进场施工人员足额购置工伤保险及人身意外伤害商业保险，施工期间如发生人员伤亡、财产损害等安全事故，全部法律责任、经济赔偿责任均由我方自行承担，与采购人无关。</w:t>
      </w:r>
    </w:p>
    <w:p w14:paraId="2759FA3E">
      <w:pPr>
        <w:keepNext w:val="0"/>
        <w:keepLines w:val="0"/>
        <w:pageBreakBefore w:val="0"/>
        <w:widowControl w:val="0"/>
        <w:wordWrap/>
        <w:overflowPunct/>
        <w:topLinePunct/>
        <w:bidi w:val="0"/>
        <w:adjustRightInd w:val="0"/>
        <w:snapToGrid w:val="0"/>
        <w:spacing w:line="560" w:lineRule="exact"/>
        <w:ind w:firstLine="640" w:firstLineChars="200"/>
        <w:jc w:val="both"/>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六、违约责任承诺</w:t>
      </w:r>
    </w:p>
    <w:p w14:paraId="35F2E0B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方承诺，若成交，项目所有物料完全响应采购公告强制物料材质、厚度、环保、低压照明等全部标准；绝不偷换规格、降低用料标准。如若成交后实际用料、施工工艺、服务履约不符合上述承诺以及采购公告物料标准、施工及服务要求，我方无条件全额返工，承担由此产生全部工期损失、材料损失以及全部违约责任，自愿接受采购人相关处置。</w:t>
      </w:r>
    </w:p>
    <w:p w14:paraId="6224F9B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特此承诺！</w:t>
      </w:r>
    </w:p>
    <w:p w14:paraId="72B4EA7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Times New Roman" w:hAnsi="Times New Roman" w:eastAsia="仿宋_GB2312" w:cs="Times New Roman"/>
          <w:sz w:val="32"/>
          <w:szCs w:val="32"/>
          <w:lang w:val="en-US" w:eastAsia="zh-CN"/>
        </w:rPr>
      </w:pPr>
    </w:p>
    <w:p w14:paraId="623003B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righ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报价单位（公章）：________________</w:t>
      </w:r>
    </w:p>
    <w:p w14:paraId="29701F9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righ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法定代表人 / 授权代表签字：__________</w:t>
      </w:r>
    </w:p>
    <w:p w14:paraId="0FCC933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righ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日期：_______年____月____日</w:t>
      </w:r>
    </w:p>
    <w:p w14:paraId="3AB1D6F7">
      <w:pPr>
        <w:keepNext w:val="0"/>
        <w:keepLines w:val="0"/>
        <w:widowControl/>
        <w:suppressLineNumbers w:val="0"/>
      </w:pPr>
    </w:p>
    <w:p w14:paraId="5B746BD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仿宋_GB2312" w:cs="Times New Roman"/>
          <w:sz w:val="28"/>
          <w:szCs w:val="28"/>
          <w:lang w:val="en-US" w:eastAsia="zh-CN"/>
        </w:rPr>
      </w:pPr>
    </w:p>
    <w:p w14:paraId="0E030BF3"/>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C84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不忘初心  方得始终</cp:lastModifiedBy>
  <dcterms:modified xsi:type="dcterms:W3CDTF">2026-09-10T07:32:37Z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eyJoZGlkIjoiMzUwNWU2NzY4ZmUzNDZlMjBhOGFmZWY5MTJiOGVmYjEiLCJ1c2VySWQiOiI1NDg2NjYxNzYifQ==</vt:lpwstr>
  </property>
  <property fmtid="{D5CDD505-2E9C-101B-9397-08002B2CF9AE}" pid="4" name="ICV">
    <vt:lpwstr>113DE3C492A34D229B361603AFA04428_12</vt:lpwstr>
  </property>
</Properties>
</file>